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8C" w:rsidRDefault="0011408C" w:rsidP="0011408C">
      <w:pPr>
        <w:pStyle w:val="Corpsdetexte"/>
        <w:rPr>
          <w:rFonts w:ascii="Arial" w:hAnsi="Arial" w:cs="Arial"/>
          <w:sz w:val="20"/>
        </w:rPr>
      </w:pPr>
    </w:p>
    <w:p w:rsidR="0011408C" w:rsidRDefault="0011408C" w:rsidP="0011408C">
      <w:pPr>
        <w:pStyle w:val="Corpsdetexte"/>
        <w:rPr>
          <w:rFonts w:ascii="Arial" w:hAnsi="Arial" w:cs="Arial"/>
          <w:sz w:val="20"/>
        </w:rPr>
      </w:pPr>
    </w:p>
    <w:p w:rsidR="0011408C" w:rsidRDefault="0011408C" w:rsidP="0011408C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</w:pPr>
      <w:r>
        <w:rPr>
          <w:rFonts w:ascii="Arial" w:hAnsi="Arial" w:cs="Arial"/>
          <w:b/>
          <w:i w:val="0"/>
          <w:sz w:val="20"/>
        </w:rPr>
        <w:t xml:space="preserve">UMR CNRS 6023 Laboratoire Microorganismes : Génome et Environnement (T. </w:t>
      </w:r>
      <w:proofErr w:type="spellStart"/>
      <w:r>
        <w:rPr>
          <w:rFonts w:ascii="Arial" w:hAnsi="Arial" w:cs="Arial"/>
          <w:b/>
          <w:i w:val="0"/>
          <w:sz w:val="20"/>
        </w:rPr>
        <w:t>Sime-ngando</w:t>
      </w:r>
      <w:proofErr w:type="spellEnd"/>
      <w:r>
        <w:rPr>
          <w:rFonts w:ascii="Arial" w:hAnsi="Arial" w:cs="Arial"/>
          <w:b/>
          <w:i w:val="0"/>
          <w:sz w:val="20"/>
        </w:rPr>
        <w:t>)</w:t>
      </w:r>
    </w:p>
    <w:p w:rsidR="0011408C" w:rsidRDefault="0011408C" w:rsidP="0011408C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rPr>
          <w:rFonts w:ascii="Arial" w:hAnsi="Arial" w:cs="Arial"/>
          <w:sz w:val="20"/>
        </w:rPr>
      </w:pPr>
    </w:p>
    <w:p w:rsidR="0011408C" w:rsidRDefault="0011408C" w:rsidP="0011408C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</w:pPr>
      <w:r>
        <w:rPr>
          <w:rFonts w:ascii="Arial" w:hAnsi="Arial" w:cs="Arial"/>
          <w:b/>
          <w:i w:val="0"/>
          <w:sz w:val="20"/>
        </w:rPr>
        <w:t xml:space="preserve">Directeur de thèse : </w:t>
      </w:r>
      <w:r>
        <w:rPr>
          <w:rFonts w:ascii="Arial" w:hAnsi="Arial" w:cs="Arial"/>
          <w:i w:val="0"/>
          <w:sz w:val="20"/>
        </w:rPr>
        <w:t>Pr.</w:t>
      </w:r>
      <w:r>
        <w:rPr>
          <w:rFonts w:ascii="Arial" w:hAnsi="Arial" w:cs="Arial"/>
          <w:b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 xml:space="preserve">Didier </w:t>
      </w:r>
      <w:proofErr w:type="spellStart"/>
      <w:r>
        <w:rPr>
          <w:rFonts w:ascii="Arial" w:hAnsi="Arial" w:cs="Arial"/>
          <w:i w:val="0"/>
          <w:sz w:val="20"/>
        </w:rPr>
        <w:t>Debroas</w:t>
      </w:r>
      <w:proofErr w:type="spellEnd"/>
      <w:r>
        <w:rPr>
          <w:rFonts w:ascii="Arial" w:hAnsi="Arial" w:cs="Arial"/>
          <w:i w:val="0"/>
          <w:sz w:val="20"/>
        </w:rPr>
        <w:t>. didier.debroas@uca.fr</w:t>
      </w:r>
    </w:p>
    <w:p w:rsidR="0011408C" w:rsidRDefault="0011408C" w:rsidP="001140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jc w:val="both"/>
        <w:rPr>
          <w:lang w:val="en-US"/>
        </w:rPr>
      </w:pPr>
    </w:p>
    <w:p w:rsidR="0011408C" w:rsidRDefault="0011408C" w:rsidP="001140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jc w:val="both"/>
        <w:rPr>
          <w:rFonts w:ascii="Arial" w:hAnsi="Arial" w:cs="Arial"/>
          <w:b/>
          <w:bCs/>
          <w:sz w:val="20"/>
          <w:u w:val="double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Deciphering the main vehicles of the antibiotic resistance genes in the environments: role of the phages and </w:t>
      </w:r>
      <w:r>
        <w:rPr>
          <w:rStyle w:val="Accentuationforte"/>
          <w:rFonts w:ascii="Arial" w:hAnsi="Arial" w:cs="Arial"/>
          <w:b w:val="0"/>
          <w:bCs w:val="0"/>
          <w:sz w:val="20"/>
          <w:szCs w:val="22"/>
          <w:shd w:val="clear" w:color="auto" w:fill="FFFFFF"/>
          <w:lang w:val="en-US"/>
        </w:rPr>
        <w:t>membrane vesicles</w:t>
      </w:r>
      <w:r>
        <w:rPr>
          <w:rStyle w:val="Accentuationforte"/>
          <w:rFonts w:ascii="Arial" w:hAnsi="Arial" w:cs="Arial"/>
          <w:sz w:val="20"/>
          <w:szCs w:val="22"/>
          <w:shd w:val="clear" w:color="auto" w:fill="FFFFFF"/>
          <w:lang w:val="en-US"/>
        </w:rPr>
        <w:t>.</w:t>
      </w:r>
    </w:p>
    <w:p w:rsidR="0011408C" w:rsidRDefault="0011408C" w:rsidP="0011408C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rPr>
          <w:rFonts w:ascii="Arial" w:hAnsi="Arial" w:cs="Arial"/>
          <w:b/>
          <w:i w:val="0"/>
          <w:sz w:val="20"/>
          <w:lang w:val="en-US"/>
        </w:rPr>
      </w:pPr>
    </w:p>
    <w:p w:rsidR="0011408C" w:rsidRDefault="0011408C" w:rsidP="001140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jc w:val="both"/>
      </w:pPr>
      <w:r>
        <w:rPr>
          <w:rStyle w:val="src"/>
          <w:rFonts w:ascii="Arial" w:hAnsi="Arial" w:cs="Arial"/>
          <w:sz w:val="20"/>
          <w:szCs w:val="22"/>
          <w:shd w:val="clear" w:color="auto" w:fill="FFFFFF"/>
          <w:lang w:val="en-US"/>
        </w:rPr>
        <w:t xml:space="preserve">At the global scale, antibiotic resistance is a rapidly growing health care problem. </w:t>
      </w:r>
      <w:r>
        <w:rPr>
          <w:rStyle w:val="src"/>
          <w:rFonts w:ascii="Arial" w:hAnsi="Arial" w:cs="Arial"/>
          <w:color w:val="00000A"/>
          <w:sz w:val="20"/>
          <w:szCs w:val="22"/>
          <w:highlight w:val="white"/>
          <w:lang w:val="en-US"/>
        </w:rPr>
        <w:t xml:space="preserve">At least 700,000 deaths are yearly attributable to resistant microbial infections </w:t>
      </w:r>
      <w:hyperlink r:id="rId4">
        <w:r>
          <w:rPr>
            <w:rStyle w:val="LienInternet"/>
            <w:rFonts w:ascii="Arial" w:hAnsi="Arial" w:cs="Arial"/>
            <w:color w:val="00000A"/>
            <w:sz w:val="20"/>
            <w:szCs w:val="22"/>
            <w:highlight w:val="white"/>
            <w:u w:val="none"/>
            <w:lang w:val="en-US"/>
          </w:rPr>
          <w:t>worldwide</w:t>
        </w:r>
      </w:hyperlink>
      <w:r>
        <w:rPr>
          <w:rStyle w:val="src"/>
          <w:rFonts w:ascii="Arial" w:hAnsi="Arial" w:cs="Arial"/>
          <w:color w:val="00000A"/>
          <w:sz w:val="20"/>
          <w:szCs w:val="22"/>
          <w:highlight w:val="white"/>
          <w:lang w:val="en-US"/>
        </w:rPr>
        <w:t>, and estimates rise above 10 million by 2050 in the absence of a proactive solution.</w:t>
      </w:r>
      <w:r>
        <w:rPr>
          <w:rStyle w:val="src"/>
          <w:rFonts w:ascii="Arial" w:hAnsi="Arial" w:cs="Arial"/>
          <w:sz w:val="20"/>
          <w:szCs w:val="22"/>
          <w:shd w:val="clear" w:color="auto" w:fill="FFFFFF"/>
          <w:lang w:val="en-US"/>
        </w:rPr>
        <w:t xml:space="preserve"> The One Health concepts integrate knowledge of the biological elements required for understanding the evolution of antimicrobial resistance, including all the vectors involved in its emergence and dissemination. </w:t>
      </w:r>
      <w:r>
        <w:rPr>
          <w:rStyle w:val="Accentuationforte"/>
          <w:rFonts w:ascii="Arial" w:hAnsi="Arial" w:cs="Arial"/>
          <w:sz w:val="20"/>
          <w:szCs w:val="22"/>
          <w:shd w:val="clear" w:color="auto" w:fill="FFFFFF"/>
          <w:lang w:val="en-US"/>
        </w:rPr>
        <w:t xml:space="preserve">Most mobile genetic elements </w:t>
      </w:r>
      <w:proofErr w:type="gramStart"/>
      <w:r>
        <w:rPr>
          <w:rStyle w:val="Accentuationforte"/>
          <w:rFonts w:ascii="Arial" w:hAnsi="Arial" w:cs="Arial"/>
          <w:sz w:val="20"/>
          <w:szCs w:val="22"/>
          <w:shd w:val="clear" w:color="auto" w:fill="FFFFFF"/>
          <w:lang w:val="en-US"/>
        </w:rPr>
        <w:t>are transferred</w:t>
      </w:r>
      <w:proofErr w:type="gramEnd"/>
      <w:r>
        <w:rPr>
          <w:rStyle w:val="Accentuationforte"/>
          <w:rFonts w:ascii="Arial" w:hAnsi="Arial" w:cs="Arial"/>
          <w:sz w:val="20"/>
          <w:szCs w:val="22"/>
          <w:shd w:val="clear" w:color="auto" w:fill="FFFFFF"/>
          <w:lang w:val="en-US"/>
        </w:rPr>
        <w:t xml:space="preserve"> through cell-cell contact by a conjugation mechanism. However, other mechanisms do not require cell contact between microorganisms, the persistence of the DNA in the environment is therefore critical. Thus, vehicles for the transfer between non-contiguous cells could be phages or, more generally, all vehicles protecting the nucleic acids such as gene transfer agents or membrane vesicles.</w:t>
      </w:r>
    </w:p>
    <w:p w:rsidR="0011408C" w:rsidRDefault="0011408C" w:rsidP="001140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jc w:val="both"/>
      </w:pPr>
      <w:r>
        <w:rPr>
          <w:rStyle w:val="Accentuationforte"/>
          <w:rFonts w:ascii="Arial" w:hAnsi="Arial" w:cs="Arial"/>
          <w:sz w:val="20"/>
          <w:szCs w:val="22"/>
          <w:shd w:val="clear" w:color="auto" w:fill="FFFFFF"/>
          <w:lang w:val="en-US"/>
        </w:rPr>
        <w:t>We hypothesize that the role of phages and membrane vesicles (MVs) in the dissemination of the antibiotic resistance genes</w:t>
      </w:r>
      <w:r>
        <w:rPr>
          <w:rStyle w:val="Accentuationforte"/>
          <w:rFonts w:ascii="Arial" w:hAnsi="Arial" w:cs="Arial"/>
          <w:color w:val="CE181E"/>
          <w:sz w:val="20"/>
          <w:szCs w:val="22"/>
          <w:shd w:val="clear" w:color="auto" w:fill="FFFFFF"/>
          <w:lang w:val="en-US"/>
        </w:rPr>
        <w:t xml:space="preserve"> </w:t>
      </w:r>
      <w:r w:rsidRPr="0011408C">
        <w:rPr>
          <w:rStyle w:val="Accentuationforte"/>
          <w:rFonts w:ascii="Arial" w:hAnsi="Arial" w:cs="Arial"/>
          <w:sz w:val="20"/>
          <w:szCs w:val="22"/>
          <w:shd w:val="clear" w:color="auto" w:fill="FFFFFF"/>
          <w:lang w:val="en-US"/>
        </w:rPr>
        <w:t>(ARGs)</w:t>
      </w:r>
      <w:r>
        <w:rPr>
          <w:rStyle w:val="Accentuationforte"/>
          <w:rFonts w:ascii="Arial" w:hAnsi="Arial" w:cs="Arial"/>
          <w:sz w:val="20"/>
          <w:szCs w:val="22"/>
          <w:shd w:val="clear" w:color="auto" w:fill="FFFFFF"/>
          <w:lang w:val="en-US"/>
        </w:rPr>
        <w:t xml:space="preserve"> are largely underestimated. </w:t>
      </w:r>
      <w:proofErr w:type="gramStart"/>
      <w:r>
        <w:rPr>
          <w:rStyle w:val="Accentuationforte"/>
          <w:rFonts w:ascii="Arial" w:hAnsi="Arial" w:cs="Arial"/>
          <w:sz w:val="20"/>
          <w:szCs w:val="22"/>
          <w:shd w:val="clear" w:color="auto" w:fill="FFFFFF"/>
          <w:lang w:val="en-US"/>
        </w:rPr>
        <w:t>The main objectives of this PhD are: 1) To assess the relative importance of phages and MVs compared to the microbiome 2) To evaluate the proportion of the ARGs harbored specifically by MVs and phages; 3) To propose a wastewater monitoring to track dissemination and emergence of the antibiotic resistances by targeting the main vehicles of the ARGs defined in this project.</w:t>
      </w:r>
      <w:proofErr w:type="gramEnd"/>
    </w:p>
    <w:p w:rsidR="0011408C" w:rsidRDefault="0011408C" w:rsidP="0011408C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rPr>
          <w:rStyle w:val="src"/>
          <w:rFonts w:ascii="Arial" w:hAnsi="Arial" w:cs="Arial"/>
          <w:b/>
          <w:i w:val="0"/>
          <w:sz w:val="20"/>
          <w:highlight w:val="white"/>
          <w:lang w:val="en-US"/>
        </w:rPr>
      </w:pPr>
    </w:p>
    <w:p w:rsidR="0011408C" w:rsidRDefault="0011408C" w:rsidP="0011408C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</w:pPr>
      <w:proofErr w:type="spellStart"/>
      <w:r>
        <w:rPr>
          <w:rStyle w:val="src"/>
          <w:rFonts w:ascii="Arial" w:hAnsi="Arial" w:cs="Arial"/>
          <w:i w:val="0"/>
          <w:sz w:val="20"/>
          <w:szCs w:val="20"/>
          <w:shd w:val="clear" w:color="auto" w:fill="FFFFFF"/>
          <w:lang w:val="en-US"/>
        </w:rPr>
        <w:t>Debroas</w:t>
      </w:r>
      <w:proofErr w:type="spellEnd"/>
      <w:r>
        <w:rPr>
          <w:rStyle w:val="src"/>
          <w:rFonts w:ascii="Arial" w:hAnsi="Arial" w:cs="Arial"/>
          <w:i w:val="0"/>
          <w:sz w:val="20"/>
          <w:szCs w:val="20"/>
          <w:shd w:val="clear" w:color="auto" w:fill="FFFFFF"/>
          <w:lang w:val="en-US"/>
        </w:rPr>
        <w:t xml:space="preserve">, D. &amp; </w:t>
      </w:r>
      <w:proofErr w:type="spellStart"/>
      <w:r>
        <w:rPr>
          <w:rStyle w:val="src"/>
          <w:rFonts w:ascii="Arial" w:hAnsi="Arial" w:cs="Arial"/>
          <w:i w:val="0"/>
          <w:sz w:val="20"/>
          <w:szCs w:val="20"/>
          <w:shd w:val="clear" w:color="auto" w:fill="FFFFFF"/>
          <w:lang w:val="en-US"/>
        </w:rPr>
        <w:t>Siguret</w:t>
      </w:r>
      <w:proofErr w:type="spellEnd"/>
      <w:r>
        <w:rPr>
          <w:rStyle w:val="src"/>
          <w:rFonts w:ascii="Arial" w:hAnsi="Arial" w:cs="Arial"/>
          <w:i w:val="0"/>
          <w:sz w:val="20"/>
          <w:szCs w:val="20"/>
          <w:shd w:val="clear" w:color="auto" w:fill="FFFFFF"/>
          <w:lang w:val="en-US"/>
        </w:rPr>
        <w:t>, C. Viruses as key reservoirs of antibiotic resistance genes in the e</w:t>
      </w:r>
      <w:bookmarkStart w:id="0" w:name="_GoBack"/>
      <w:bookmarkEnd w:id="0"/>
      <w:r>
        <w:rPr>
          <w:rStyle w:val="src"/>
          <w:rFonts w:ascii="Arial" w:hAnsi="Arial" w:cs="Arial"/>
          <w:i w:val="0"/>
          <w:sz w:val="20"/>
          <w:szCs w:val="20"/>
          <w:shd w:val="clear" w:color="auto" w:fill="FFFFFF"/>
          <w:lang w:val="en-US"/>
        </w:rPr>
        <w:t>nvironment. ISME J 1–12 (2019).</w:t>
      </w:r>
    </w:p>
    <w:p w:rsidR="0011408C" w:rsidRDefault="0011408C" w:rsidP="0011408C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rPr>
          <w:lang w:val="en-US"/>
        </w:rPr>
      </w:pPr>
    </w:p>
    <w:p w:rsidR="0011408C" w:rsidRDefault="0011408C" w:rsidP="0011408C">
      <w:pPr>
        <w:pStyle w:val="Corpsdetexte3"/>
        <w:rPr>
          <w:rFonts w:ascii="Arial" w:hAnsi="Arial" w:cs="Arial"/>
          <w:sz w:val="20"/>
        </w:rPr>
      </w:pPr>
    </w:p>
    <w:p w:rsidR="0011408C" w:rsidRDefault="0011408C"/>
    <w:sectPr w:rsidR="0011408C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8C"/>
    <w:rsid w:val="0011408C"/>
    <w:rsid w:val="00C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69F8"/>
  <w15:chartTrackingRefBased/>
  <w15:docId w15:val="{54722963-1FEC-4062-8FFB-1649B2A8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08C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11408C"/>
    <w:rPr>
      <w:color w:val="0000FF"/>
      <w:u w:val="single"/>
    </w:rPr>
  </w:style>
  <w:style w:type="character" w:customStyle="1" w:styleId="CorpsdetexteCar">
    <w:name w:val="Corps de texte Car"/>
    <w:link w:val="Corpsdetexte"/>
    <w:qFormat/>
    <w:rsid w:val="0011408C"/>
    <w:rPr>
      <w:i/>
      <w:sz w:val="24"/>
    </w:rPr>
  </w:style>
  <w:style w:type="character" w:customStyle="1" w:styleId="src">
    <w:name w:val="src"/>
    <w:basedOn w:val="Policepardfaut"/>
    <w:qFormat/>
    <w:rsid w:val="0011408C"/>
  </w:style>
  <w:style w:type="character" w:customStyle="1" w:styleId="Accentuationforte">
    <w:name w:val="Accentuation forte"/>
    <w:qFormat/>
    <w:rsid w:val="0011408C"/>
    <w:rPr>
      <w:b/>
      <w:bCs/>
    </w:rPr>
  </w:style>
  <w:style w:type="paragraph" w:styleId="Corpsdetexte">
    <w:name w:val="Body Text"/>
    <w:basedOn w:val="Normal"/>
    <w:link w:val="CorpsdetexteCar"/>
    <w:rsid w:val="0011408C"/>
    <w:pPr>
      <w:jc w:val="both"/>
    </w:pPr>
    <w:rPr>
      <w:rFonts w:asciiTheme="minorHAnsi" w:eastAsiaTheme="minorHAnsi" w:hAnsiTheme="minorHAnsi" w:cstheme="minorBidi"/>
      <w:i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11408C"/>
    <w:rPr>
      <w:rFonts w:ascii="Times" w:eastAsia="Times" w:hAnsi="Times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qFormat/>
    <w:rsid w:val="0011408C"/>
    <w:pPr>
      <w:jc w:val="center"/>
    </w:pPr>
    <w:rPr>
      <w:b/>
    </w:rPr>
  </w:style>
  <w:style w:type="character" w:customStyle="1" w:styleId="Corpsdetexte3Car">
    <w:name w:val="Corps de texte 3 Car"/>
    <w:basedOn w:val="Policepardfaut"/>
    <w:link w:val="Corpsdetexte3"/>
    <w:rsid w:val="0011408C"/>
    <w:rPr>
      <w:rFonts w:ascii="Times" w:eastAsia="Times" w:hAnsi="Times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r-review.org/sites/default/files/160518_Final%20paper_with%20cove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BOUZABOUNE</dc:creator>
  <cp:keywords/>
  <dc:description/>
  <cp:lastModifiedBy>Ghita BOUZABOUNE</cp:lastModifiedBy>
  <cp:revision>1</cp:revision>
  <dcterms:created xsi:type="dcterms:W3CDTF">2020-04-02T09:02:00Z</dcterms:created>
  <dcterms:modified xsi:type="dcterms:W3CDTF">2020-04-02T09:07:00Z</dcterms:modified>
</cp:coreProperties>
</file>