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236" w:rsidRPr="00AD50A6" w:rsidRDefault="006B3236" w:rsidP="006B3236">
      <w:pPr>
        <w:pStyle w:val="Corpsdetexte"/>
        <w:tabs>
          <w:tab w:val="left" w:pos="1560"/>
        </w:tabs>
        <w:rPr>
          <w:rFonts w:ascii="Arial" w:hAnsi="Arial" w:cs="Arial"/>
          <w:b/>
          <w:i w:val="0"/>
          <w:sz w:val="20"/>
        </w:rPr>
      </w:pPr>
      <w:r w:rsidRPr="00AD50A6">
        <w:rPr>
          <w:rFonts w:ascii="Arial" w:hAnsi="Arial" w:cs="Arial"/>
          <w:b/>
          <w:i w:val="0"/>
          <w:sz w:val="20"/>
        </w:rPr>
        <w:t>UMR CNRS 6023 LMGE, UCA (</w:t>
      </w:r>
      <w:proofErr w:type="spellStart"/>
      <w:proofErr w:type="gramStart"/>
      <w:r w:rsidRPr="00AD50A6">
        <w:rPr>
          <w:rFonts w:ascii="Arial" w:hAnsi="Arial" w:cs="Arial"/>
          <w:b/>
          <w:i w:val="0"/>
          <w:sz w:val="20"/>
        </w:rPr>
        <w:t>T.Sime</w:t>
      </w:r>
      <w:proofErr w:type="gramEnd"/>
      <w:r w:rsidRPr="00AD50A6">
        <w:rPr>
          <w:rFonts w:ascii="Arial" w:hAnsi="Arial" w:cs="Arial"/>
          <w:b/>
          <w:i w:val="0"/>
          <w:sz w:val="20"/>
        </w:rPr>
        <w:t>-Ngando</w:t>
      </w:r>
      <w:proofErr w:type="spellEnd"/>
      <w:r w:rsidRPr="00AD50A6">
        <w:rPr>
          <w:rFonts w:ascii="Arial" w:hAnsi="Arial" w:cs="Arial"/>
          <w:b/>
          <w:i w:val="0"/>
          <w:sz w:val="20"/>
        </w:rPr>
        <w:t>)</w:t>
      </w:r>
    </w:p>
    <w:p w:rsidR="006B3236" w:rsidRPr="00AD50A6" w:rsidRDefault="006B3236" w:rsidP="006B3236">
      <w:pPr>
        <w:pStyle w:val="Corpsdetexte"/>
        <w:tabs>
          <w:tab w:val="left" w:pos="1560"/>
        </w:tabs>
        <w:rPr>
          <w:rFonts w:ascii="Arial" w:hAnsi="Arial" w:cs="Arial"/>
          <w:i w:val="0"/>
          <w:sz w:val="20"/>
        </w:rPr>
      </w:pPr>
    </w:p>
    <w:p w:rsidR="006B3236" w:rsidRPr="00AD50A6" w:rsidRDefault="006B3236" w:rsidP="006B3236">
      <w:pPr>
        <w:pStyle w:val="Corpsdetexte"/>
        <w:tabs>
          <w:tab w:val="left" w:pos="1560"/>
        </w:tabs>
        <w:rPr>
          <w:rFonts w:ascii="Arial" w:hAnsi="Arial" w:cs="Arial"/>
          <w:b/>
          <w:i w:val="0"/>
          <w:sz w:val="20"/>
        </w:rPr>
      </w:pPr>
      <w:r w:rsidRPr="00AD50A6">
        <w:rPr>
          <w:rFonts w:ascii="Arial" w:hAnsi="Arial" w:cs="Arial"/>
          <w:b/>
          <w:i w:val="0"/>
          <w:sz w:val="20"/>
        </w:rPr>
        <w:t xml:space="preserve">Directeur de thèse : </w:t>
      </w:r>
      <w:r w:rsidRPr="00AD50A6">
        <w:rPr>
          <w:rFonts w:ascii="Arial" w:hAnsi="Arial" w:cs="Arial"/>
          <w:i w:val="0"/>
          <w:sz w:val="20"/>
        </w:rPr>
        <w:t xml:space="preserve">Alexandre Bec (MCU-HDR), </w:t>
      </w:r>
      <w:r w:rsidRPr="00AD50A6">
        <w:rPr>
          <w:rFonts w:ascii="Arial" w:hAnsi="Arial" w:cs="Arial"/>
          <w:b/>
          <w:i w:val="0"/>
          <w:sz w:val="20"/>
        </w:rPr>
        <w:t>Co-encadrant :</w:t>
      </w:r>
      <w:r w:rsidRPr="00AD50A6">
        <w:rPr>
          <w:rFonts w:ascii="Arial" w:hAnsi="Arial" w:cs="Arial"/>
          <w:i w:val="0"/>
          <w:sz w:val="20"/>
        </w:rPr>
        <w:t xml:space="preserve"> </w:t>
      </w:r>
      <w:proofErr w:type="spellStart"/>
      <w:r w:rsidRPr="00AD50A6">
        <w:rPr>
          <w:rFonts w:ascii="Arial" w:hAnsi="Arial" w:cs="Arial"/>
          <w:i w:val="0"/>
          <w:sz w:val="20"/>
        </w:rPr>
        <w:t>Apostolos</w:t>
      </w:r>
      <w:proofErr w:type="spellEnd"/>
      <w:r w:rsidRPr="00AD50A6">
        <w:rPr>
          <w:rFonts w:ascii="Arial" w:hAnsi="Arial" w:cs="Arial"/>
          <w:i w:val="0"/>
          <w:sz w:val="20"/>
        </w:rPr>
        <w:t xml:space="preserve">-Manuel </w:t>
      </w:r>
      <w:proofErr w:type="spellStart"/>
      <w:r w:rsidRPr="00AD50A6">
        <w:rPr>
          <w:rFonts w:ascii="Arial" w:hAnsi="Arial" w:cs="Arial"/>
          <w:i w:val="0"/>
          <w:sz w:val="20"/>
        </w:rPr>
        <w:t>Koussoroplis</w:t>
      </w:r>
      <w:proofErr w:type="spellEnd"/>
      <w:r w:rsidRPr="00AD50A6">
        <w:rPr>
          <w:rFonts w:ascii="Arial" w:hAnsi="Arial" w:cs="Arial"/>
          <w:i w:val="0"/>
          <w:sz w:val="20"/>
        </w:rPr>
        <w:t xml:space="preserve"> (MCU) </w:t>
      </w:r>
    </w:p>
    <w:p w:rsidR="006B3236" w:rsidRDefault="006B3236" w:rsidP="006B3236">
      <w:pPr>
        <w:spacing w:after="0" w:line="240" w:lineRule="auto"/>
        <w:jc w:val="both"/>
        <w:rPr>
          <w:rFonts w:ascii="Arial" w:eastAsia="Times New Roman" w:hAnsi="Arial" w:cs="Arial"/>
          <w:b/>
          <w:color w:val="222222"/>
          <w:sz w:val="28"/>
          <w:szCs w:val="28"/>
          <w:shd w:val="clear" w:color="auto" w:fill="F8F9FA"/>
          <w:lang w:val="en-US" w:eastAsia="fr-FR"/>
        </w:rPr>
      </w:pPr>
      <w:hyperlink r:id="rId4" w:history="1">
        <w:r w:rsidRPr="00AD50A6">
          <w:rPr>
            <w:rStyle w:val="Lienhypertexte"/>
            <w:rFonts w:ascii="Arial" w:hAnsi="Arial" w:cs="Arial"/>
            <w:sz w:val="20"/>
          </w:rPr>
          <w:t>alexandre.bec@uca.fr</w:t>
        </w:r>
      </w:hyperlink>
      <w:r w:rsidRPr="00AD50A6">
        <w:rPr>
          <w:rFonts w:ascii="Arial" w:hAnsi="Arial" w:cs="Arial"/>
          <w:sz w:val="20"/>
        </w:rPr>
        <w:t xml:space="preserve"> , </w:t>
      </w:r>
      <w:hyperlink r:id="rId5" w:history="1">
        <w:r w:rsidRPr="00AD50A6">
          <w:rPr>
            <w:rStyle w:val="Lienhypertexte"/>
            <w:rFonts w:ascii="Arial" w:hAnsi="Arial" w:cs="Arial"/>
            <w:sz w:val="20"/>
          </w:rPr>
          <w:t>a-manuel.koussoroplis@uca.fr</w:t>
        </w:r>
      </w:hyperlink>
    </w:p>
    <w:p w:rsidR="006B3236" w:rsidRDefault="006B3236" w:rsidP="006B3236">
      <w:pPr>
        <w:spacing w:after="0" w:line="240" w:lineRule="auto"/>
        <w:jc w:val="both"/>
        <w:rPr>
          <w:rFonts w:ascii="Arial" w:eastAsia="Times New Roman" w:hAnsi="Arial" w:cs="Arial"/>
          <w:b/>
          <w:color w:val="222222"/>
          <w:sz w:val="28"/>
          <w:szCs w:val="28"/>
          <w:shd w:val="clear" w:color="auto" w:fill="F8F9FA"/>
          <w:lang w:val="en-US" w:eastAsia="fr-FR"/>
        </w:rPr>
      </w:pPr>
    </w:p>
    <w:p w:rsidR="006B3236" w:rsidRPr="006B3236" w:rsidRDefault="006B3236" w:rsidP="006B3236">
      <w:pPr>
        <w:spacing w:after="0" w:line="240" w:lineRule="auto"/>
        <w:jc w:val="both"/>
        <w:rPr>
          <w:rFonts w:ascii="Arial" w:eastAsia="Times New Roman" w:hAnsi="Arial" w:cs="Arial"/>
          <w:b/>
          <w:color w:val="222222"/>
          <w:sz w:val="28"/>
          <w:szCs w:val="28"/>
          <w:shd w:val="clear" w:color="auto" w:fill="F8F9FA"/>
          <w:lang w:val="en-US" w:eastAsia="fr-FR"/>
        </w:rPr>
      </w:pPr>
      <w:r w:rsidRPr="006B3236">
        <w:rPr>
          <w:rFonts w:ascii="Arial" w:eastAsia="Times New Roman" w:hAnsi="Arial" w:cs="Arial"/>
          <w:b/>
          <w:color w:val="222222"/>
          <w:sz w:val="28"/>
          <w:szCs w:val="28"/>
          <w:shd w:val="clear" w:color="auto" w:fill="F8F9FA"/>
          <w:lang w:val="en-US" w:eastAsia="fr-FR"/>
        </w:rPr>
        <w:t>Combined effects of thermal variability and nutritional constraints on aquatic ecosystem function</w:t>
      </w:r>
    </w:p>
    <w:p w:rsidR="006B3236" w:rsidRPr="006B3236" w:rsidRDefault="006B3236" w:rsidP="006B3236">
      <w:pPr>
        <w:spacing w:after="0" w:line="240" w:lineRule="auto"/>
        <w:jc w:val="both"/>
        <w:rPr>
          <w:rFonts w:ascii="Times New Roman" w:eastAsia="Times New Roman" w:hAnsi="Times New Roman" w:cs="Times New Roman"/>
          <w:sz w:val="24"/>
          <w:szCs w:val="24"/>
          <w:lang w:eastAsia="fr-FR"/>
        </w:rPr>
      </w:pPr>
      <w:r w:rsidRPr="006B3236">
        <w:rPr>
          <w:rFonts w:ascii="Arial" w:eastAsia="Times New Roman" w:hAnsi="Arial" w:cs="Arial"/>
          <w:color w:val="222222"/>
          <w:sz w:val="42"/>
          <w:szCs w:val="42"/>
          <w:shd w:val="clear" w:color="auto" w:fill="F8F9FA"/>
          <w:lang w:val="en-US" w:eastAsia="fr-FR"/>
        </w:rPr>
        <w:t> </w:t>
      </w:r>
      <w:bookmarkStart w:id="0" w:name="_GoBack"/>
      <w:bookmarkEnd w:id="0"/>
      <w:r w:rsidRPr="006B3236">
        <w:rPr>
          <w:rFonts w:ascii="Calibri" w:eastAsia="Times New Roman" w:hAnsi="Calibri" w:cs="Calibri"/>
          <w:color w:val="000000"/>
          <w:shd w:val="clear" w:color="auto" w:fill="FFFFFF"/>
          <w:lang w:val="en-US" w:eastAsia="fr-FR"/>
        </w:rPr>
        <w:br/>
      </w:r>
      <w:r w:rsidRPr="006B3236">
        <w:rPr>
          <w:rFonts w:ascii="Calibri" w:eastAsia="Times New Roman" w:hAnsi="Calibri" w:cs="Calibri"/>
          <w:color w:val="222222"/>
          <w:sz w:val="20"/>
          <w:szCs w:val="20"/>
          <w:shd w:val="clear" w:color="auto" w:fill="F8F9FA"/>
          <w:lang w:val="en-US" w:eastAsia="fr-FR"/>
        </w:rPr>
        <w:t>The trophic transfer efficiency (TTE) between phytoplankton and zooplankton is determinant for aquatic ecosystem structure and function</w:t>
      </w:r>
      <w:r w:rsidRPr="006B3236">
        <w:rPr>
          <w:rFonts w:ascii="Calibri" w:eastAsia="Times New Roman" w:hAnsi="Calibri" w:cs="Calibri"/>
          <w:color w:val="222222"/>
          <w:sz w:val="20"/>
          <w:szCs w:val="20"/>
          <w:shd w:val="clear" w:color="auto" w:fill="F8F9FA"/>
          <w:vertAlign w:val="superscript"/>
          <w:lang w:val="en-US" w:eastAsia="fr-FR"/>
        </w:rPr>
        <w:t>1</w:t>
      </w:r>
      <w:r w:rsidRPr="006B3236">
        <w:rPr>
          <w:rFonts w:ascii="Calibri" w:eastAsia="Times New Roman" w:hAnsi="Calibri" w:cs="Calibri"/>
          <w:color w:val="222222"/>
          <w:sz w:val="20"/>
          <w:szCs w:val="20"/>
          <w:shd w:val="clear" w:color="auto" w:fill="F8F9FA"/>
          <w:lang w:val="en-US" w:eastAsia="fr-FR"/>
        </w:rPr>
        <w:t xml:space="preserve">. When this efficiency is low, primary production accumulates and forms algal or cyanobacterial inflorescences with various harmful effects for the ecosystem and its </w:t>
      </w:r>
      <w:proofErr w:type="gramStart"/>
      <w:r w:rsidRPr="006B3236">
        <w:rPr>
          <w:rFonts w:ascii="Calibri" w:eastAsia="Times New Roman" w:hAnsi="Calibri" w:cs="Calibri"/>
          <w:color w:val="222222"/>
          <w:sz w:val="20"/>
          <w:szCs w:val="20"/>
          <w:shd w:val="clear" w:color="auto" w:fill="F8F9FA"/>
          <w:lang w:val="en-US" w:eastAsia="fr-FR"/>
        </w:rPr>
        <w:t>users(</w:t>
      </w:r>
      <w:proofErr w:type="gramEnd"/>
      <w:r w:rsidRPr="006B3236">
        <w:rPr>
          <w:rFonts w:ascii="Calibri" w:eastAsia="Times New Roman" w:hAnsi="Calibri" w:cs="Calibri"/>
          <w:color w:val="222222"/>
          <w:sz w:val="20"/>
          <w:szCs w:val="20"/>
          <w:shd w:val="clear" w:color="auto" w:fill="F8F9FA"/>
          <w:lang w:val="en-US" w:eastAsia="fr-FR"/>
        </w:rPr>
        <w:t xml:space="preserve">toxicity, anoxia). Conversely, high efficiency ensures control of phytoplankton populations, increases water transparency and promotes fish production. TTE depends mainly on the extent to which the nutritional requirements of zooplankton </w:t>
      </w:r>
      <w:proofErr w:type="gramStart"/>
      <w:r w:rsidRPr="006B3236">
        <w:rPr>
          <w:rFonts w:ascii="Calibri" w:eastAsia="Times New Roman" w:hAnsi="Calibri" w:cs="Calibri"/>
          <w:color w:val="222222"/>
          <w:sz w:val="20"/>
          <w:szCs w:val="20"/>
          <w:shd w:val="clear" w:color="auto" w:fill="F8F9FA"/>
          <w:lang w:val="en-US" w:eastAsia="fr-FR"/>
        </w:rPr>
        <w:t>are covered</w:t>
      </w:r>
      <w:proofErr w:type="gramEnd"/>
      <w:r w:rsidRPr="006B3236">
        <w:rPr>
          <w:rFonts w:ascii="Calibri" w:eastAsia="Times New Roman" w:hAnsi="Calibri" w:cs="Calibri"/>
          <w:color w:val="222222"/>
          <w:sz w:val="20"/>
          <w:szCs w:val="20"/>
          <w:shd w:val="clear" w:color="auto" w:fill="F8F9FA"/>
          <w:lang w:val="en-US" w:eastAsia="fr-FR"/>
        </w:rPr>
        <w:t xml:space="preserve"> by the stoichiometric and biochemical composition of phytoplankton. Predicting the evolution of TTE in a context of global warming is therefore a major issue. Yet, such prediction is highly complex because temperature simultaneously drives the nutritional requirements of zooplankton</w:t>
      </w:r>
      <w:r w:rsidRPr="006B3236">
        <w:rPr>
          <w:rFonts w:ascii="Calibri" w:eastAsia="Times New Roman" w:hAnsi="Calibri" w:cs="Calibri"/>
          <w:color w:val="222222"/>
          <w:sz w:val="20"/>
          <w:szCs w:val="20"/>
          <w:shd w:val="clear" w:color="auto" w:fill="F8F9FA"/>
          <w:vertAlign w:val="superscript"/>
          <w:lang w:val="en-US" w:eastAsia="fr-FR"/>
        </w:rPr>
        <w:t>2</w:t>
      </w:r>
      <w:r w:rsidRPr="006B3236">
        <w:rPr>
          <w:rFonts w:ascii="Calibri" w:eastAsia="Times New Roman" w:hAnsi="Calibri" w:cs="Calibri"/>
          <w:color w:val="222222"/>
          <w:sz w:val="20"/>
          <w:szCs w:val="20"/>
          <w:shd w:val="clear" w:color="auto" w:fill="F8F9FA"/>
          <w:lang w:val="en-US" w:eastAsia="fr-FR"/>
        </w:rPr>
        <w:t xml:space="preserve"> and nutritional quality of phytoplankton (via its impact on the dynamics and taxonomic composition of phytoplankton communities). Furthermore, one of the main components of climate change is not only an increase in average temperature </w:t>
      </w:r>
      <w:proofErr w:type="gramStart"/>
      <w:r w:rsidRPr="006B3236">
        <w:rPr>
          <w:rFonts w:ascii="Calibri" w:eastAsia="Times New Roman" w:hAnsi="Calibri" w:cs="Calibri"/>
          <w:color w:val="222222"/>
          <w:sz w:val="20"/>
          <w:szCs w:val="20"/>
          <w:shd w:val="clear" w:color="auto" w:fill="F8F9FA"/>
          <w:lang w:val="en-US" w:eastAsia="fr-FR"/>
        </w:rPr>
        <w:t>but</w:t>
      </w:r>
      <w:proofErr w:type="gramEnd"/>
      <w:r w:rsidRPr="006B3236">
        <w:rPr>
          <w:rFonts w:ascii="Calibri" w:eastAsia="Times New Roman" w:hAnsi="Calibri" w:cs="Calibri"/>
          <w:color w:val="222222"/>
          <w:sz w:val="20"/>
          <w:szCs w:val="20"/>
          <w:shd w:val="clear" w:color="auto" w:fill="F8F9FA"/>
          <w:lang w:val="en-US" w:eastAsia="fr-FR"/>
        </w:rPr>
        <w:t xml:space="preserve"> an increase in thermal variability. This results in greater thermal amplitudes and a high frequency of extreme temperature episodes</w:t>
      </w:r>
      <w:r w:rsidRPr="006B3236">
        <w:rPr>
          <w:rFonts w:ascii="Calibri" w:eastAsia="Times New Roman" w:hAnsi="Calibri" w:cs="Calibri"/>
          <w:color w:val="222222"/>
          <w:sz w:val="20"/>
          <w:szCs w:val="20"/>
          <w:shd w:val="clear" w:color="auto" w:fill="F8F9FA"/>
          <w:vertAlign w:val="superscript"/>
          <w:lang w:val="en-US" w:eastAsia="fr-FR"/>
        </w:rPr>
        <w:t>4</w:t>
      </w:r>
      <w:r w:rsidRPr="006B3236">
        <w:rPr>
          <w:rFonts w:ascii="Calibri" w:eastAsia="Times New Roman" w:hAnsi="Calibri" w:cs="Calibri"/>
          <w:color w:val="222222"/>
          <w:sz w:val="20"/>
          <w:szCs w:val="20"/>
          <w:shd w:val="clear" w:color="auto" w:fill="F8F9FA"/>
          <w:lang w:val="en-US" w:eastAsia="fr-FR"/>
        </w:rPr>
        <w:t>. This increase in thermal variance alone can have more significant effects than an increase in average temperature</w:t>
      </w:r>
      <w:r w:rsidRPr="006B3236">
        <w:rPr>
          <w:rFonts w:ascii="Calibri" w:eastAsia="Times New Roman" w:hAnsi="Calibri" w:cs="Calibri"/>
          <w:color w:val="222222"/>
          <w:sz w:val="20"/>
          <w:szCs w:val="20"/>
          <w:shd w:val="clear" w:color="auto" w:fill="F8F9FA"/>
          <w:vertAlign w:val="superscript"/>
          <w:lang w:val="en-US" w:eastAsia="fr-FR"/>
        </w:rPr>
        <w:t>5</w:t>
      </w:r>
      <w:r w:rsidRPr="006B3236">
        <w:rPr>
          <w:rFonts w:ascii="Calibri" w:eastAsia="Times New Roman" w:hAnsi="Calibri" w:cs="Calibri"/>
          <w:color w:val="222222"/>
          <w:sz w:val="20"/>
          <w:szCs w:val="20"/>
          <w:shd w:val="clear" w:color="auto" w:fill="F8F9FA"/>
          <w:lang w:val="en-US" w:eastAsia="fr-FR"/>
        </w:rPr>
        <w:t xml:space="preserve">. The thesis subject will therefore tackle the problem of predicting the efficiency of TTE between phytoplankton and zooplankton in a context of increased thermal variability through a combination of experimental and theoretical approaches. The objective will be to isolate the effect of the different components of thermal variability (mean, variance, autocorrelation) on the metabolic rate and life history traits of zooplankton and to quantify the effect of their factorial combinations with the nutritional quality of phytoplankton. On the experimental and analytical level, the student will benefit from innovative methodologies such as </w:t>
      </w:r>
      <w:proofErr w:type="spellStart"/>
      <w:r w:rsidRPr="006B3236">
        <w:rPr>
          <w:rFonts w:ascii="Calibri" w:eastAsia="Times New Roman" w:hAnsi="Calibri" w:cs="Calibri"/>
          <w:color w:val="222222"/>
          <w:sz w:val="20"/>
          <w:szCs w:val="20"/>
          <w:shd w:val="clear" w:color="auto" w:fill="F8F9FA"/>
          <w:lang w:val="en-US" w:eastAsia="fr-FR"/>
        </w:rPr>
        <w:t>microcalorimetry</w:t>
      </w:r>
      <w:proofErr w:type="spellEnd"/>
      <w:r w:rsidRPr="006B3236">
        <w:rPr>
          <w:rFonts w:ascii="Calibri" w:eastAsia="Times New Roman" w:hAnsi="Calibri" w:cs="Calibri"/>
          <w:color w:val="222222"/>
          <w:sz w:val="20"/>
          <w:szCs w:val="20"/>
          <w:shd w:val="clear" w:color="auto" w:fill="F8F9FA"/>
          <w:lang w:val="en-US" w:eastAsia="fr-FR"/>
        </w:rPr>
        <w:t xml:space="preserve"> for the measurement of metabolic rate and modeling approaches based on the Theory of Dynamic Budgets (DEB)</w:t>
      </w:r>
      <w:r w:rsidRPr="006B3236">
        <w:rPr>
          <w:rFonts w:ascii="Calibri" w:eastAsia="Times New Roman" w:hAnsi="Calibri" w:cs="Calibri"/>
          <w:color w:val="222222"/>
          <w:sz w:val="20"/>
          <w:szCs w:val="20"/>
          <w:shd w:val="clear" w:color="auto" w:fill="F8F9FA"/>
          <w:vertAlign w:val="superscript"/>
          <w:lang w:val="en-US" w:eastAsia="fr-FR"/>
        </w:rPr>
        <w:t>6</w:t>
      </w:r>
      <w:r w:rsidRPr="006B3236">
        <w:rPr>
          <w:rFonts w:ascii="Calibri" w:eastAsia="Times New Roman" w:hAnsi="Calibri" w:cs="Calibri"/>
          <w:color w:val="222222"/>
          <w:sz w:val="20"/>
          <w:szCs w:val="20"/>
          <w:shd w:val="clear" w:color="auto" w:fill="F8F9FA"/>
          <w:lang w:val="en-US" w:eastAsia="fr-FR"/>
        </w:rPr>
        <w:t xml:space="preserve"> currently developed in the hosting research group </w:t>
      </w:r>
      <w:r w:rsidRPr="006B3236">
        <w:rPr>
          <w:rFonts w:ascii="Calibri" w:eastAsia="Times New Roman" w:hAnsi="Calibri" w:cs="Calibri"/>
          <w:color w:val="222222"/>
          <w:sz w:val="20"/>
          <w:szCs w:val="20"/>
          <w:shd w:val="clear" w:color="auto" w:fill="F8F9FA"/>
          <w:vertAlign w:val="superscript"/>
          <w:lang w:val="en-US" w:eastAsia="fr-FR"/>
        </w:rPr>
        <w:t>7.8</w:t>
      </w:r>
      <w:r w:rsidRPr="006B3236">
        <w:rPr>
          <w:rFonts w:ascii="Calibri" w:eastAsia="Times New Roman" w:hAnsi="Calibri" w:cs="Calibri"/>
          <w:color w:val="222222"/>
          <w:sz w:val="20"/>
          <w:szCs w:val="20"/>
          <w:shd w:val="clear" w:color="auto" w:fill="F8F9FA"/>
          <w:lang w:val="en-US" w:eastAsia="fr-FR"/>
        </w:rPr>
        <w:t xml:space="preserve"> </w:t>
      </w:r>
    </w:p>
    <w:p w:rsidR="006B3236" w:rsidRPr="006B3236" w:rsidRDefault="006B3236" w:rsidP="006B3236">
      <w:pPr>
        <w:spacing w:after="0" w:line="240" w:lineRule="auto"/>
        <w:rPr>
          <w:rFonts w:ascii="Times New Roman" w:eastAsia="Times New Roman" w:hAnsi="Times New Roman" w:cs="Times New Roman"/>
          <w:sz w:val="24"/>
          <w:szCs w:val="24"/>
          <w:lang w:eastAsia="fr-FR"/>
        </w:rPr>
      </w:pPr>
    </w:p>
    <w:p w:rsidR="006B3236" w:rsidRPr="006B3236" w:rsidRDefault="006B3236" w:rsidP="006B3236">
      <w:pPr>
        <w:spacing w:after="0" w:line="240" w:lineRule="auto"/>
        <w:rPr>
          <w:rFonts w:ascii="Times New Roman" w:eastAsia="Times New Roman" w:hAnsi="Times New Roman" w:cs="Times New Roman"/>
          <w:sz w:val="24"/>
          <w:szCs w:val="24"/>
          <w:lang w:eastAsia="fr-FR"/>
        </w:rPr>
      </w:pPr>
    </w:p>
    <w:p w:rsidR="006B3236" w:rsidRPr="006B3236" w:rsidRDefault="006B3236" w:rsidP="006B3236">
      <w:pPr>
        <w:spacing w:after="0" w:line="240" w:lineRule="auto"/>
        <w:rPr>
          <w:rFonts w:ascii="Times New Roman" w:eastAsia="Times New Roman" w:hAnsi="Times New Roman" w:cs="Times New Roman"/>
          <w:sz w:val="24"/>
          <w:szCs w:val="24"/>
          <w:lang w:eastAsia="fr-FR"/>
        </w:rPr>
      </w:pPr>
    </w:p>
    <w:p w:rsidR="000511DA" w:rsidRDefault="000511DA"/>
    <w:sectPr w:rsidR="00051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36"/>
    <w:rsid w:val="000511DA"/>
    <w:rsid w:val="006B32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A7E8"/>
  <w15:chartTrackingRefBased/>
  <w15:docId w15:val="{319047B6-9462-49C6-A778-DC13C436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B3236"/>
    <w:pPr>
      <w:spacing w:after="0" w:line="240" w:lineRule="auto"/>
      <w:jc w:val="both"/>
    </w:pPr>
    <w:rPr>
      <w:rFonts w:ascii="Times" w:eastAsia="Times" w:hAnsi="Times" w:cs="Times New Roman"/>
      <w:i/>
      <w:sz w:val="24"/>
      <w:szCs w:val="20"/>
      <w:lang w:eastAsia="fr-FR"/>
    </w:rPr>
  </w:style>
  <w:style w:type="character" w:customStyle="1" w:styleId="CorpsdetexteCar">
    <w:name w:val="Corps de texte Car"/>
    <w:basedOn w:val="Policepardfaut"/>
    <w:link w:val="Corpsdetexte"/>
    <w:rsid w:val="006B3236"/>
    <w:rPr>
      <w:rFonts w:ascii="Times" w:eastAsia="Times" w:hAnsi="Times" w:cs="Times New Roman"/>
      <w:i/>
      <w:sz w:val="24"/>
      <w:szCs w:val="20"/>
      <w:lang w:eastAsia="fr-FR"/>
    </w:rPr>
  </w:style>
  <w:style w:type="character" w:styleId="Lienhypertexte">
    <w:name w:val="Hyperlink"/>
    <w:uiPriority w:val="99"/>
    <w:rsid w:val="006B3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52302">
      <w:bodyDiv w:val="1"/>
      <w:marLeft w:val="0"/>
      <w:marRight w:val="0"/>
      <w:marTop w:val="0"/>
      <w:marBottom w:val="0"/>
      <w:divBdr>
        <w:top w:val="none" w:sz="0" w:space="0" w:color="auto"/>
        <w:left w:val="none" w:sz="0" w:space="0" w:color="auto"/>
        <w:bottom w:val="none" w:sz="0" w:space="0" w:color="auto"/>
        <w:right w:val="none" w:sz="0" w:space="0" w:color="auto"/>
      </w:divBdr>
      <w:divsChild>
        <w:div w:id="1658413781">
          <w:marLeft w:val="0"/>
          <w:marRight w:val="0"/>
          <w:marTop w:val="0"/>
          <w:marBottom w:val="0"/>
          <w:divBdr>
            <w:top w:val="none" w:sz="0" w:space="0" w:color="auto"/>
            <w:left w:val="none" w:sz="0" w:space="0" w:color="auto"/>
            <w:bottom w:val="none" w:sz="0" w:space="0" w:color="auto"/>
            <w:right w:val="none" w:sz="0" w:space="0" w:color="auto"/>
          </w:divBdr>
          <w:divsChild>
            <w:div w:id="854727643">
              <w:marLeft w:val="0"/>
              <w:marRight w:val="0"/>
              <w:marTop w:val="0"/>
              <w:marBottom w:val="0"/>
              <w:divBdr>
                <w:top w:val="none" w:sz="0" w:space="0" w:color="auto"/>
                <w:left w:val="none" w:sz="0" w:space="0" w:color="auto"/>
                <w:bottom w:val="none" w:sz="0" w:space="0" w:color="auto"/>
                <w:right w:val="none" w:sz="0" w:space="0" w:color="auto"/>
              </w:divBdr>
            </w:div>
            <w:div w:id="852066239">
              <w:marLeft w:val="0"/>
              <w:marRight w:val="0"/>
              <w:marTop w:val="0"/>
              <w:marBottom w:val="0"/>
              <w:divBdr>
                <w:top w:val="none" w:sz="0" w:space="0" w:color="auto"/>
                <w:left w:val="none" w:sz="0" w:space="0" w:color="auto"/>
                <w:bottom w:val="none" w:sz="0" w:space="0" w:color="auto"/>
                <w:right w:val="none" w:sz="0" w:space="0" w:color="auto"/>
              </w:divBdr>
            </w:div>
          </w:divsChild>
        </w:div>
        <w:div w:id="103785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anuel.koussoroplis@uca.fr" TargetMode="External"/><Relationship Id="rId4" Type="http://schemas.openxmlformats.org/officeDocument/2006/relationships/hyperlink" Target="mailto:alexandre.bec@uc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2153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UCA</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Ghita BOUZABOUNE</dc:creator>
  <cp:keywords/>
  <dc:description/>
  <cp:lastModifiedBy>Ghita BOUZABOUNE</cp:lastModifiedBy>
  <cp:revision>1</cp:revision>
  <dcterms:created xsi:type="dcterms:W3CDTF">2020-04-02T11:31:00Z</dcterms:created>
  <dcterms:modified xsi:type="dcterms:W3CDTF">2020-04-02T11:34:00Z</dcterms:modified>
</cp:coreProperties>
</file>