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9A" w:rsidRPr="00C0229E" w:rsidRDefault="00BE199A" w:rsidP="00BE199A">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sz w:val="20"/>
          <w:szCs w:val="20"/>
          <w:u w:val="single"/>
        </w:rPr>
      </w:pPr>
      <w:bookmarkStart w:id="0" w:name="_GoBack"/>
      <w:bookmarkEnd w:id="0"/>
      <w:proofErr w:type="spellStart"/>
      <w:r w:rsidRPr="00C0229E">
        <w:rPr>
          <w:rFonts w:ascii="Arial" w:hAnsi="Arial" w:cs="Arial"/>
          <w:b/>
          <w:color w:val="000000" w:themeColor="text1"/>
          <w:sz w:val="20"/>
          <w:szCs w:val="20"/>
          <w:u w:val="single"/>
        </w:rPr>
        <w:t>Presentation</w:t>
      </w:r>
      <w:proofErr w:type="spellEnd"/>
      <w:r w:rsidRPr="00C0229E">
        <w:rPr>
          <w:rFonts w:ascii="Arial" w:hAnsi="Arial" w:cs="Arial"/>
          <w:b/>
          <w:color w:val="000000" w:themeColor="text1"/>
          <w:sz w:val="20"/>
          <w:szCs w:val="20"/>
          <w:u w:val="single"/>
        </w:rPr>
        <w:t xml:space="preserve"> </w:t>
      </w:r>
      <w:proofErr w:type="spellStart"/>
      <w:r w:rsidRPr="00C0229E">
        <w:rPr>
          <w:rFonts w:ascii="Arial" w:hAnsi="Arial" w:cs="Arial"/>
          <w:b/>
          <w:color w:val="000000" w:themeColor="text1"/>
          <w:sz w:val="20"/>
          <w:szCs w:val="20"/>
          <w:u w:val="single"/>
        </w:rPr>
        <w:t>card</w:t>
      </w:r>
      <w:proofErr w:type="spellEnd"/>
      <w:r w:rsidRPr="00C0229E">
        <w:rPr>
          <w:rFonts w:ascii="Arial" w:hAnsi="Arial" w:cs="Arial"/>
          <w:b/>
          <w:color w:val="000000" w:themeColor="text1"/>
          <w:sz w:val="20"/>
          <w:szCs w:val="20"/>
          <w:u w:val="single"/>
        </w:rPr>
        <w:t xml:space="preserve"> </w:t>
      </w:r>
    </w:p>
    <w:p w:rsidR="00BE199A" w:rsidRPr="00C0229E" w:rsidRDefault="00BE199A" w:rsidP="00BE199A">
      <w:pPr>
        <w:pBdr>
          <w:top w:val="single" w:sz="4" w:space="1" w:color="auto"/>
          <w:left w:val="single" w:sz="4" w:space="4" w:color="auto"/>
          <w:bottom w:val="single" w:sz="4" w:space="1" w:color="auto"/>
          <w:right w:val="single" w:sz="4" w:space="4" w:color="auto"/>
        </w:pBdr>
        <w:spacing w:after="0"/>
        <w:jc w:val="both"/>
        <w:rPr>
          <w:rFonts w:ascii="Arial" w:hAnsi="Arial" w:cs="Arial"/>
          <w:b/>
          <w:color w:val="000000" w:themeColor="text1"/>
          <w:sz w:val="20"/>
          <w:szCs w:val="20"/>
          <w:u w:val="single"/>
        </w:rPr>
      </w:pPr>
      <w:proofErr w:type="spellStart"/>
      <w:r w:rsidRPr="00C0229E">
        <w:rPr>
          <w:rFonts w:ascii="Arial" w:hAnsi="Arial" w:cs="Arial"/>
          <w:b/>
          <w:color w:val="000000" w:themeColor="text1"/>
          <w:sz w:val="20"/>
          <w:szCs w:val="20"/>
          <w:u w:val="single"/>
        </w:rPr>
        <w:t>GReD</w:t>
      </w:r>
      <w:proofErr w:type="spellEnd"/>
      <w:r w:rsidRPr="00C0229E">
        <w:rPr>
          <w:rFonts w:ascii="Arial" w:hAnsi="Arial" w:cs="Arial"/>
          <w:b/>
          <w:color w:val="000000" w:themeColor="text1"/>
          <w:sz w:val="20"/>
          <w:szCs w:val="20"/>
          <w:u w:val="single"/>
        </w:rPr>
        <w:t xml:space="preserve">, CNRS UMR6293, INSERM 1103, Clermont Université (Chantal </w:t>
      </w:r>
      <w:proofErr w:type="spellStart"/>
      <w:r w:rsidRPr="00C0229E">
        <w:rPr>
          <w:rFonts w:ascii="Arial" w:hAnsi="Arial" w:cs="Arial"/>
          <w:b/>
          <w:color w:val="000000" w:themeColor="text1"/>
          <w:sz w:val="20"/>
          <w:szCs w:val="20"/>
          <w:u w:val="single"/>
        </w:rPr>
        <w:t>Vaury</w:t>
      </w:r>
      <w:proofErr w:type="spellEnd"/>
      <w:r w:rsidRPr="00C0229E">
        <w:rPr>
          <w:rFonts w:ascii="Arial" w:hAnsi="Arial" w:cs="Arial"/>
          <w:b/>
          <w:color w:val="000000" w:themeColor="text1"/>
          <w:sz w:val="20"/>
          <w:szCs w:val="20"/>
          <w:u w:val="single"/>
        </w:rPr>
        <w:t>)</w:t>
      </w:r>
    </w:p>
    <w:p w:rsidR="00BE199A" w:rsidRPr="00C0229E" w:rsidRDefault="00BE199A" w:rsidP="00BE199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r w:rsidRPr="00C0229E">
        <w:rPr>
          <w:rFonts w:ascii="Arial" w:hAnsi="Arial" w:cs="Arial"/>
          <w:color w:val="000000" w:themeColor="text1"/>
          <w:sz w:val="20"/>
          <w:szCs w:val="20"/>
          <w:lang w:val="en-US"/>
        </w:rPr>
        <w:t xml:space="preserve">Thesis supervisor: </w:t>
      </w:r>
      <w:proofErr w:type="spellStart"/>
      <w:r w:rsidRPr="00C0229E">
        <w:rPr>
          <w:rFonts w:ascii="Arial" w:hAnsi="Arial" w:cs="Arial"/>
          <w:color w:val="000000" w:themeColor="text1"/>
          <w:sz w:val="20"/>
          <w:szCs w:val="20"/>
          <w:lang w:val="en-US"/>
        </w:rPr>
        <w:t>Pr</w:t>
      </w:r>
      <w:proofErr w:type="spellEnd"/>
      <w:r w:rsidRPr="00C0229E">
        <w:rPr>
          <w:rFonts w:ascii="Arial" w:hAnsi="Arial" w:cs="Arial"/>
          <w:color w:val="000000" w:themeColor="text1"/>
          <w:sz w:val="20"/>
          <w:szCs w:val="20"/>
          <w:lang w:val="en-US"/>
        </w:rPr>
        <w:t xml:space="preserve"> Marie </w:t>
      </w:r>
      <w:proofErr w:type="spellStart"/>
      <w:r w:rsidRPr="00C0229E">
        <w:rPr>
          <w:rFonts w:ascii="Arial" w:hAnsi="Arial" w:cs="Arial"/>
          <w:color w:val="000000" w:themeColor="text1"/>
          <w:sz w:val="20"/>
          <w:szCs w:val="20"/>
          <w:lang w:val="en-US"/>
        </w:rPr>
        <w:t>Lefrançois</w:t>
      </w:r>
      <w:proofErr w:type="spellEnd"/>
      <w:r w:rsidRPr="00C0229E">
        <w:rPr>
          <w:rFonts w:ascii="Arial" w:hAnsi="Arial" w:cs="Arial"/>
          <w:color w:val="000000" w:themeColor="text1"/>
          <w:sz w:val="20"/>
          <w:szCs w:val="20"/>
          <w:lang w:val="en-US"/>
        </w:rPr>
        <w:t>-Martinez (a-marie.lefrancois-martinez@uca.fr)</w:t>
      </w:r>
    </w:p>
    <w:p w:rsidR="00BE199A" w:rsidRPr="00C0229E" w:rsidRDefault="00BE199A" w:rsidP="00BE199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r w:rsidRPr="00C0229E">
        <w:rPr>
          <w:rFonts w:ascii="Arial" w:hAnsi="Arial" w:cs="Arial"/>
          <w:color w:val="000000" w:themeColor="text1"/>
          <w:sz w:val="20"/>
          <w:szCs w:val="20"/>
          <w:lang w:val="en-US"/>
        </w:rPr>
        <w:t>Carney complex ovarian lesions, PKA and plasticity of ovarian identity</w:t>
      </w:r>
    </w:p>
    <w:p w:rsidR="00BE199A" w:rsidRPr="00C0229E" w:rsidRDefault="00BE199A" w:rsidP="00BE199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r w:rsidRPr="00C0229E">
        <w:rPr>
          <w:rFonts w:ascii="Arial" w:hAnsi="Arial" w:cs="Arial"/>
          <w:color w:val="000000" w:themeColor="text1"/>
          <w:sz w:val="20"/>
          <w:szCs w:val="20"/>
          <w:lang w:val="en-US"/>
        </w:rPr>
        <w:t xml:space="preserve">In the gonads, steroid hormones biosynthesis </w:t>
      </w:r>
      <w:proofErr w:type="gramStart"/>
      <w:r w:rsidRPr="00C0229E">
        <w:rPr>
          <w:rFonts w:ascii="Arial" w:hAnsi="Arial" w:cs="Arial"/>
          <w:color w:val="000000" w:themeColor="text1"/>
          <w:sz w:val="20"/>
          <w:szCs w:val="20"/>
          <w:lang w:val="en-US"/>
        </w:rPr>
        <w:t>is stimulated</w:t>
      </w:r>
      <w:proofErr w:type="gramEnd"/>
      <w:r w:rsidRPr="00C0229E">
        <w:rPr>
          <w:rFonts w:ascii="Arial" w:hAnsi="Arial" w:cs="Arial"/>
          <w:color w:val="000000" w:themeColor="text1"/>
          <w:sz w:val="20"/>
          <w:szCs w:val="20"/>
          <w:lang w:val="en-US"/>
        </w:rPr>
        <w:t xml:space="preserve"> by cAMP / PKA signaling relaying the control of the gonadotropic hormones FSH / LH. </w:t>
      </w:r>
      <w:proofErr w:type="gramStart"/>
      <w:r w:rsidRPr="00C0229E">
        <w:rPr>
          <w:rFonts w:ascii="Arial" w:hAnsi="Arial" w:cs="Arial"/>
          <w:color w:val="000000" w:themeColor="text1"/>
          <w:sz w:val="20"/>
          <w:szCs w:val="20"/>
          <w:lang w:val="en-US"/>
        </w:rPr>
        <w:t>cAMP</w:t>
      </w:r>
      <w:proofErr w:type="gramEnd"/>
      <w:r w:rsidRPr="00C0229E">
        <w:rPr>
          <w:rFonts w:ascii="Arial" w:hAnsi="Arial" w:cs="Arial"/>
          <w:color w:val="000000" w:themeColor="text1"/>
          <w:sz w:val="20"/>
          <w:szCs w:val="20"/>
          <w:lang w:val="en-US"/>
        </w:rPr>
        <w:t xml:space="preserve"> binding to the regulatory subunits (R) dissociates them from the catalytic subunits of PKA which are  in turn activated and lead to stimulation of steroidogenesis. Inactivating mutations in the PRKAR1A gene encoding the R1A isoform results in constitutive activity of PKA and are responsible for a rare autosomal dominant disease, the Carney complex (CNC). CNC is a </w:t>
      </w:r>
      <w:proofErr w:type="spellStart"/>
      <w:r w:rsidRPr="00C0229E">
        <w:rPr>
          <w:rFonts w:ascii="Arial" w:hAnsi="Arial" w:cs="Arial"/>
          <w:color w:val="000000" w:themeColor="text1"/>
          <w:sz w:val="20"/>
          <w:szCs w:val="20"/>
          <w:lang w:val="en-US"/>
        </w:rPr>
        <w:t>multineoplastic</w:t>
      </w:r>
      <w:proofErr w:type="spellEnd"/>
      <w:r w:rsidRPr="00C0229E">
        <w:rPr>
          <w:rFonts w:ascii="Arial" w:hAnsi="Arial" w:cs="Arial"/>
          <w:color w:val="000000" w:themeColor="text1"/>
          <w:sz w:val="20"/>
          <w:szCs w:val="20"/>
          <w:lang w:val="en-US"/>
        </w:rPr>
        <w:t xml:space="preserve"> syndrome predisposing to cardiac myxomas and endocrine tumors. CNC ovarian </w:t>
      </w:r>
      <w:proofErr w:type="gramStart"/>
      <w:r w:rsidRPr="00C0229E">
        <w:rPr>
          <w:rFonts w:ascii="Arial" w:hAnsi="Arial" w:cs="Arial"/>
          <w:color w:val="000000" w:themeColor="text1"/>
          <w:sz w:val="20"/>
          <w:szCs w:val="20"/>
          <w:lang w:val="en-US"/>
        </w:rPr>
        <w:t>lesions  (</w:t>
      </w:r>
      <w:proofErr w:type="gramEnd"/>
      <w:r w:rsidRPr="00C0229E">
        <w:rPr>
          <w:rFonts w:ascii="Arial" w:hAnsi="Arial" w:cs="Arial"/>
          <w:color w:val="000000" w:themeColor="text1"/>
          <w:sz w:val="20"/>
          <w:szCs w:val="20"/>
          <w:lang w:val="en-US"/>
        </w:rPr>
        <w:t xml:space="preserve">70% of patients),  are very poorly characterized, and result mostly in cystic lesions occasionally associated with androgens hyperproductions and  with increased occurrence of ovarian cancers. </w:t>
      </w:r>
      <w:proofErr w:type="gramStart"/>
      <w:r w:rsidRPr="00C0229E">
        <w:rPr>
          <w:rFonts w:ascii="Arial" w:hAnsi="Arial" w:cs="Arial"/>
          <w:color w:val="000000" w:themeColor="text1"/>
          <w:sz w:val="20"/>
          <w:szCs w:val="20"/>
          <w:lang w:val="en-US"/>
        </w:rPr>
        <w:t>Based on human biopsies and murine genetic models reproducing the mutation and replicating the human ovarian phenotype, the project aims to identify the molecular circuits disturbed in the ovarian pathogenesis of the CNC by specifying: -1) the origin and the role of androgenic excess in the appearance of lesions and -2) the proliferative circuits responsible for ovarian tumorigenesis and its cellular origin.</w:t>
      </w:r>
      <w:proofErr w:type="gramEnd"/>
      <w:r w:rsidRPr="00C0229E">
        <w:rPr>
          <w:rFonts w:ascii="Arial" w:hAnsi="Arial" w:cs="Arial"/>
          <w:color w:val="000000" w:themeColor="text1"/>
          <w:sz w:val="20"/>
          <w:szCs w:val="20"/>
          <w:lang w:val="en-US"/>
        </w:rPr>
        <w:t xml:space="preserve"> </w:t>
      </w:r>
    </w:p>
    <w:p w:rsidR="00BE199A" w:rsidRPr="00C0229E" w:rsidRDefault="00BE199A" w:rsidP="00BE199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proofErr w:type="spellStart"/>
      <w:r w:rsidRPr="00C0229E">
        <w:rPr>
          <w:rFonts w:ascii="Arial" w:hAnsi="Arial" w:cs="Arial"/>
          <w:color w:val="000000" w:themeColor="text1"/>
          <w:sz w:val="20"/>
          <w:szCs w:val="20"/>
          <w:lang w:val="en-US"/>
        </w:rPr>
        <w:t>Dumontet</w:t>
      </w:r>
      <w:proofErr w:type="spellEnd"/>
      <w:r w:rsidRPr="00C0229E">
        <w:rPr>
          <w:rFonts w:ascii="Arial" w:hAnsi="Arial" w:cs="Arial"/>
          <w:color w:val="000000" w:themeColor="text1"/>
          <w:sz w:val="20"/>
          <w:szCs w:val="20"/>
          <w:lang w:val="en-US"/>
        </w:rPr>
        <w:t xml:space="preserve"> T et al (2018) PKA signaling drives reticularis differentiation and sexually dimorphic adrenal cortex renewal. JCI Insight 3(2) e98394</w:t>
      </w:r>
    </w:p>
    <w:p w:rsidR="00BE199A" w:rsidRPr="00C0229E" w:rsidRDefault="00BE199A" w:rsidP="00BE199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US"/>
        </w:rPr>
      </w:pPr>
      <w:proofErr w:type="spellStart"/>
      <w:r w:rsidRPr="00C0229E">
        <w:rPr>
          <w:rFonts w:ascii="Arial" w:hAnsi="Arial" w:cs="Arial"/>
          <w:color w:val="000000" w:themeColor="text1"/>
          <w:sz w:val="20"/>
          <w:szCs w:val="20"/>
          <w:lang w:val="en-US"/>
        </w:rPr>
        <w:t>Batisse-Lignier</w:t>
      </w:r>
      <w:proofErr w:type="spellEnd"/>
      <w:r w:rsidRPr="00C0229E">
        <w:rPr>
          <w:rFonts w:ascii="Arial" w:hAnsi="Arial" w:cs="Arial"/>
          <w:color w:val="000000" w:themeColor="text1"/>
          <w:sz w:val="20"/>
          <w:szCs w:val="20"/>
          <w:lang w:val="en-US"/>
        </w:rPr>
        <w:t xml:space="preserve"> M et al (2017) P53/</w:t>
      </w:r>
      <w:proofErr w:type="spellStart"/>
      <w:r w:rsidRPr="00C0229E">
        <w:rPr>
          <w:rFonts w:ascii="Arial" w:hAnsi="Arial" w:cs="Arial"/>
          <w:color w:val="000000" w:themeColor="text1"/>
          <w:sz w:val="20"/>
          <w:szCs w:val="20"/>
          <w:lang w:val="en-US"/>
        </w:rPr>
        <w:t>Rb</w:t>
      </w:r>
      <w:proofErr w:type="spellEnd"/>
      <w:r w:rsidRPr="00C0229E">
        <w:rPr>
          <w:rFonts w:ascii="Arial" w:hAnsi="Arial" w:cs="Arial"/>
          <w:color w:val="000000" w:themeColor="text1"/>
          <w:sz w:val="20"/>
          <w:szCs w:val="20"/>
          <w:lang w:val="en-US"/>
        </w:rPr>
        <w:t xml:space="preserve"> inhibition induces metastatic adrenocortical carcinomas in a </w:t>
      </w:r>
      <w:proofErr w:type="gramStart"/>
      <w:r w:rsidRPr="00C0229E">
        <w:rPr>
          <w:rFonts w:ascii="Arial" w:hAnsi="Arial" w:cs="Arial"/>
          <w:color w:val="000000" w:themeColor="text1"/>
          <w:sz w:val="20"/>
          <w:szCs w:val="20"/>
          <w:lang w:val="en-US"/>
        </w:rPr>
        <w:t>preclinical</w:t>
      </w:r>
      <w:proofErr w:type="gramEnd"/>
      <w:r w:rsidRPr="00C0229E">
        <w:rPr>
          <w:rFonts w:ascii="Arial" w:hAnsi="Arial" w:cs="Arial"/>
          <w:color w:val="000000" w:themeColor="text1"/>
          <w:sz w:val="20"/>
          <w:szCs w:val="20"/>
          <w:lang w:val="en-US"/>
        </w:rPr>
        <w:t xml:space="preserve"> transgenic model. Oncogene 36(31):4445-4456</w:t>
      </w:r>
    </w:p>
    <w:p w:rsidR="00676C95" w:rsidRDefault="009179DF"/>
    <w:sectPr w:rsidR="00676C95" w:rsidSect="00234C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9A"/>
    <w:rsid w:val="000320AA"/>
    <w:rsid w:val="00212412"/>
    <w:rsid w:val="00234CAB"/>
    <w:rsid w:val="008147AA"/>
    <w:rsid w:val="008E39CE"/>
    <w:rsid w:val="009179DF"/>
    <w:rsid w:val="00BE199A"/>
    <w:rsid w:val="00D72AC1"/>
    <w:rsid w:val="00EF1EB2"/>
    <w:rsid w:val="00FB6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0B8B3-CC73-B24D-BC2B-447BC48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9A"/>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1494</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Ghita BOUZABOUNE</cp:lastModifiedBy>
  <cp:revision>2</cp:revision>
  <dcterms:created xsi:type="dcterms:W3CDTF">2020-04-02T09:13:00Z</dcterms:created>
  <dcterms:modified xsi:type="dcterms:W3CDTF">2020-04-02T09:13:00Z</dcterms:modified>
</cp:coreProperties>
</file>